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июля 2022 г. № 713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июля 2022 г. № 713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распределения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расходования субсидии, поступающей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укрепление материально-технической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базы муниципальных учреждений,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показавших наиболее значимые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достижения по подготовке одаренных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детей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139 Бюджетного кодекса Российской Федерации и приложением № 16 «Порядок предоставления и распределения субсидий бюджетам муниципальных образований на укрепление материально-технической базы учреждений, показавших наиболее значимые достижения по подготовке одаренных детей Воронежской области» к государственной программе Воронежской области «Развитие физической культуры и спорта», утвержденной постановлением правительства Воронежской области от 31.12.2013 № 1202 «Об утверждении государственной программы Воронежской области «Развитие физической культуры и спорта»,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распределения и расходования субсидии, поступающей на укрепление материально-технической базы муниципальных учреждений, показавших наиболее значимые достижения по подготовке одаренных детей.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управление физической культуры и спорта администрации городского округа город Воронеж уполномоченным органом по распределению и расходованию субсидии, поступающей на укрепление материально-технической базы муниципальных учреждений, показавших наиболее значимые достижения по подготовке одаренных детей.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